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EB1" w:rsidRPr="00583FE9" w:rsidRDefault="007F3EB1" w:rsidP="007F3EB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3. Қайшылықтарды зерттеудің ситуациялық әдісі.  </w:t>
      </w:r>
    </w:p>
    <w:p w:rsidR="004C4CB9" w:rsidRPr="007F3EB1" w:rsidRDefault="007F3EB1" w:rsidP="007F3EB1">
      <w:pPr>
        <w:rPr>
          <w:lang w:val="kk-KZ"/>
        </w:rPr>
      </w:pPr>
      <w:r w:rsidRPr="00583FE9">
        <w:rPr>
          <w:sz w:val="24"/>
          <w:szCs w:val="24"/>
          <w:lang w:val="kk-KZ"/>
        </w:rPr>
        <w:t xml:space="preserve">Тапсырма: қайшылықты сипаттау және оны талдау.  </w:t>
      </w:r>
    </w:p>
    <w:sectPr w:rsidR="004C4CB9" w:rsidRPr="007F3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7F3EB1"/>
    <w:rsid w:val="004C4CB9"/>
    <w:rsid w:val="007F3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2017-01-30T16:09:00Z</dcterms:created>
  <dcterms:modified xsi:type="dcterms:W3CDTF">2017-01-30T16:09:00Z</dcterms:modified>
</cp:coreProperties>
</file>